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8F1AF" w14:textId="77777777" w:rsidR="00A77536" w:rsidRPr="00EB389F" w:rsidRDefault="00A77536" w:rsidP="00A77536">
      <w:pPr>
        <w:rPr>
          <w:rFonts w:ascii="Times New Roman" w:hAnsi="Times New Roman" w:cs="Times New Roman"/>
          <w:color w:val="000000"/>
          <w:spacing w:val="2"/>
          <w:sz w:val="28"/>
          <w:szCs w:val="28"/>
          <w:lang w:val="kk-KZ" w:eastAsia="ru-RU"/>
        </w:rPr>
      </w:pPr>
      <w:r w:rsidRPr="00EB389F">
        <w:rPr>
          <w:rFonts w:ascii="Times New Roman" w:hAnsi="Times New Roman" w:cs="Times New Roman"/>
          <w:color w:val="000000"/>
          <w:spacing w:val="2"/>
          <w:sz w:val="28"/>
          <w:szCs w:val="28"/>
          <w:lang w:val="kk-KZ" w:eastAsia="ru-RU"/>
        </w:rPr>
        <w:t>Дәріс 5-</w:t>
      </w:r>
      <w:r w:rsidRPr="00EB389F">
        <w:rPr>
          <w:rFonts w:ascii="Times New Roman" w:hAnsi="Times New Roman" w:cs="Times New Roman"/>
          <w:sz w:val="28"/>
          <w:szCs w:val="28"/>
          <w:lang w:val="kk-KZ"/>
        </w:rPr>
        <w:t xml:space="preserve"> ҚР </w:t>
      </w:r>
      <w:r w:rsidRPr="00EB389F">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p>
    <w:p w14:paraId="387CBFBC" w14:textId="77777777" w:rsidR="00A77536" w:rsidRPr="00EB389F" w:rsidRDefault="00A77536" w:rsidP="00A77536">
      <w:pPr>
        <w:tabs>
          <w:tab w:val="left" w:pos="0"/>
        </w:tabs>
        <w:rPr>
          <w:rFonts w:ascii="Times New Roman" w:hAnsi="Times New Roman" w:cs="Times New Roman"/>
          <w:sz w:val="28"/>
          <w:szCs w:val="28"/>
          <w:lang w:val="kk-KZ"/>
        </w:rPr>
      </w:pPr>
      <w:r w:rsidRPr="00EB389F">
        <w:rPr>
          <w:rFonts w:ascii="Times New Roman" w:hAnsi="Times New Roman" w:cs="Times New Roman"/>
          <w:sz w:val="28"/>
          <w:szCs w:val="28"/>
        </w:rPr>
        <w:tab/>
      </w:r>
      <w:r w:rsidRPr="00EB389F">
        <w:rPr>
          <w:rFonts w:ascii="Times New Roman" w:hAnsi="Times New Roman" w:cs="Times New Roman"/>
          <w:sz w:val="28"/>
          <w:szCs w:val="28"/>
          <w:lang w:val="kk-KZ"/>
        </w:rPr>
        <w:t xml:space="preserve">Дәрістің мақсаты – Студенттерге  ҚР </w:t>
      </w:r>
      <w:r w:rsidRPr="00EB389F">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r w:rsidRPr="00EB389F">
        <w:rPr>
          <w:rFonts w:ascii="Times New Roman" w:hAnsi="Times New Roman" w:cs="Times New Roman"/>
          <w:sz w:val="28"/>
          <w:szCs w:val="28"/>
          <w:lang w:val="kk-KZ"/>
        </w:rPr>
        <w:t xml:space="preserve">  жан-жақты кешенді түсіндіру</w:t>
      </w:r>
    </w:p>
    <w:p w14:paraId="24D45E20" w14:textId="77777777" w:rsidR="00A77536" w:rsidRPr="00EB389F" w:rsidRDefault="00A77536" w:rsidP="00A77536">
      <w:pPr>
        <w:tabs>
          <w:tab w:val="left" w:pos="1380"/>
        </w:tabs>
        <w:rPr>
          <w:rFonts w:ascii="Times New Roman" w:hAnsi="Times New Roman" w:cs="Times New Roman"/>
          <w:sz w:val="28"/>
          <w:szCs w:val="28"/>
          <w:lang w:val="kk-KZ"/>
        </w:rPr>
      </w:pPr>
      <w:r w:rsidRPr="00EB389F">
        <w:rPr>
          <w:rFonts w:ascii="Times New Roman" w:hAnsi="Times New Roman" w:cs="Times New Roman"/>
          <w:sz w:val="28"/>
          <w:szCs w:val="28"/>
          <w:lang w:val="kk-KZ"/>
        </w:rPr>
        <w:t>Сұрақтар:</w:t>
      </w:r>
    </w:p>
    <w:p w14:paraId="022BA867" w14:textId="77777777" w:rsidR="00A77536" w:rsidRPr="00EB389F" w:rsidRDefault="00A77536" w:rsidP="00A77536">
      <w:pPr>
        <w:tabs>
          <w:tab w:val="left" w:pos="1380"/>
        </w:tabs>
        <w:rPr>
          <w:rFonts w:ascii="Times New Roman" w:hAnsi="Times New Roman" w:cs="Times New Roman"/>
          <w:sz w:val="28"/>
          <w:szCs w:val="28"/>
          <w:lang w:val="kk-KZ"/>
        </w:rPr>
      </w:pPr>
      <w:r w:rsidRPr="00EB389F">
        <w:rPr>
          <w:rFonts w:ascii="Times New Roman" w:hAnsi="Times New Roman" w:cs="Times New Roman"/>
          <w:sz w:val="28"/>
          <w:szCs w:val="28"/>
          <w:lang w:val="kk-KZ"/>
        </w:rPr>
        <w:t xml:space="preserve">1. ҚР </w:t>
      </w:r>
      <w:r w:rsidRPr="00EB389F">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p>
    <w:p w14:paraId="5FE8226D" w14:textId="77777777" w:rsidR="00A77536" w:rsidRPr="00EB389F" w:rsidRDefault="00A77536" w:rsidP="00A77536">
      <w:pPr>
        <w:tabs>
          <w:tab w:val="left" w:pos="1380"/>
        </w:tabs>
        <w:rPr>
          <w:rFonts w:ascii="Times New Roman" w:hAnsi="Times New Roman" w:cs="Times New Roman"/>
          <w:sz w:val="28"/>
          <w:szCs w:val="28"/>
          <w:lang w:val="kk-KZ"/>
        </w:rPr>
      </w:pPr>
      <w:r w:rsidRPr="00EB389F">
        <w:rPr>
          <w:rFonts w:ascii="Times New Roman" w:hAnsi="Times New Roman" w:cs="Times New Roman"/>
          <w:sz w:val="28"/>
          <w:szCs w:val="28"/>
          <w:lang w:val="kk-KZ"/>
        </w:rPr>
        <w:t>2.М</w:t>
      </w:r>
      <w:r w:rsidRPr="00EB389F">
        <w:rPr>
          <w:rFonts w:ascii="Times New Roman" w:hAnsi="Times New Roman" w:cs="Times New Roman"/>
          <w:bCs/>
          <w:color w:val="201F1E"/>
          <w:sz w:val="28"/>
          <w:szCs w:val="28"/>
          <w:shd w:val="clear" w:color="auto" w:fill="FFFFFF"/>
          <w:lang w:val="kk-KZ"/>
        </w:rPr>
        <w:t>емлекеттік және жергілікті  басқару жүйесінің  ерекшеліктері</w:t>
      </w:r>
    </w:p>
    <w:p w14:paraId="677D937A" w14:textId="77777777" w:rsidR="00A77536" w:rsidRDefault="00A77536" w:rsidP="00A77536">
      <w:pPr>
        <w:rPr>
          <w:lang w:val="kk-KZ"/>
        </w:rPr>
      </w:pPr>
    </w:p>
    <w:p w14:paraId="578FA508"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b/>
          <w:bCs/>
          <w:color w:val="000000"/>
          <w:spacing w:val="2"/>
          <w:sz w:val="28"/>
          <w:szCs w:val="28"/>
          <w:bdr w:val="none" w:sz="0" w:space="0" w:color="auto" w:frame="1"/>
          <w:lang w:val="kk-KZ"/>
        </w:rPr>
        <w:t>Мемлекеттік басқарудың негізгі қағидаттары</w:t>
      </w:r>
    </w:p>
    <w:p w14:paraId="3CBB0B75"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w:t>
      </w:r>
    </w:p>
    <w:p w14:paraId="6EB36264"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Қағидаттар мемлекеттік басқару жүйесінің негізгі қырларын, маңызды сипаттамаларын көрсетеді және мемлекеттік саясатты қалыптастыру мен іске асыруда, сондай-ақ мемлекеттік шешімдерді қабылдауда бағдар ретінде қызмет етуге арналған.</w:t>
      </w:r>
    </w:p>
    <w:p w14:paraId="72D27CD4"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"Халық үніне құлақ асатын мемлекет" қағидаты</w:t>
      </w:r>
    </w:p>
    <w:p w14:paraId="100BBD71"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саясат немесе реформа "Ең алдымен адамдар" басты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p w14:paraId="2D6F453C"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p w14:paraId="20BFD695"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үзақ мерзімді мақсаттарға қол жеткізу кезінде проблемалардың туындауын болғызбауға немесе олардан келетін залалды барынша азайтуға бағытталған.</w:t>
      </w:r>
    </w:p>
    <w:p w14:paraId="7A97C60D"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 саясатты жүргізу тәуекелдерді басқару жүйелерімен тығыз интеграцияланған және қатерлердің орын алу ықтималдылығын төмендету үшін ресурстарды уақтылы болуді білдіреді.</w:t>
      </w:r>
    </w:p>
    <w:p w14:paraId="2B95DC35"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Орнықты экономикалық өсудің, қоғам мен бизнесті дамытудың қажетті шарты заңның үстемдігін қамтамасыз ету болып табылады, мұнда мемлекет адамның іргелі құқықтарын сақтаудың кепілі болуға тиіс.</w:t>
      </w:r>
    </w:p>
    <w:p w14:paraId="2F2D9DEB"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Тиімді мемлекет қағидаты</w:t>
      </w:r>
    </w:p>
    <w:p w14:paraId="041010D9"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lastRenderedPageBreak/>
        <w:t>      Мемлекеттік басқарудың тиімділігі кез келген мемлекеттің дамуы және азаматтардың өмір сүру сапасын арттыру үшін шешуші фактор болып табылады.</w:t>
      </w:r>
    </w:p>
    <w:p w14:paraId="77630B74"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p w14:paraId="2DBB4AF1"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p w14:paraId="0536C550"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Тиімділікті бағалау мемлекеттік басқарудың өнімділігін арттыруды қамтамасыз ету үшін ұдайы түрде жүргізілуге тиіс.</w:t>
      </w:r>
    </w:p>
    <w:p w14:paraId="213C45A9"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Есеп беретін мемлекет қағидаты</w:t>
      </w:r>
    </w:p>
    <w:p w14:paraId="204935B2" w14:textId="77777777" w:rsidR="00A77536" w:rsidRPr="00AF3C8C"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Бұл қағидат: ақпараттық ашықтықты, қолжетімділікті, қоғамға есеп берушілікті қамтиды.</w:t>
      </w:r>
    </w:p>
    <w:p w14:paraId="339DA437"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xml:space="preserve">      </w:t>
      </w:r>
      <w:r w:rsidRPr="007D7008">
        <w:rPr>
          <w:color w:val="000000"/>
          <w:spacing w:val="2"/>
          <w:sz w:val="28"/>
          <w:szCs w:val="28"/>
          <w:lang w:val="kk-KZ"/>
        </w:rPr>
        <w:t>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 құралдарын кеңінен пайдалануға негізделеді.</w:t>
      </w:r>
    </w:p>
    <w:p w14:paraId="41B18E73"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басқару институттары үшін қоғамдық игілік жеке мүдделерден жоғары тұруға тиіс.</w:t>
      </w:r>
    </w:p>
    <w:p w14:paraId="53B29BA8"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p w14:paraId="060A599F"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Кәсіби мемлекет қағидаты</w:t>
      </w:r>
    </w:p>
    <w:p w14:paraId="561CD737"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p w14:paraId="2B794A80"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p w14:paraId="672BCB18"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p w14:paraId="161B3336"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 Прагматикалық мемлекет қағидаты</w:t>
      </w:r>
    </w:p>
    <w:p w14:paraId="2C8849C7"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p w14:paraId="038322C0"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p w14:paraId="58D8CFDA"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xml:space="preserve">      Осы қағидатқа сәйкес мемлекеттік шешімдер ғылыми зерттеу (объективтілік, қайталану, байқап көру) әдістеріне негізделген жеткілікті </w:t>
      </w:r>
      <w:r w:rsidRPr="007D7008">
        <w:rPr>
          <w:color w:val="000000"/>
          <w:spacing w:val="2"/>
          <w:sz w:val="28"/>
          <w:szCs w:val="28"/>
          <w:lang w:val="kk-KZ"/>
        </w:rPr>
        <w:lastRenderedPageBreak/>
        <w:t>объективті дәлелдемелік база болған кезде ғана қабылданады. Мемлекеттік саясаттың сабақтастығын, әсіресе іске асырылу нәтижелері ұзақ мерзімді перспективада қол жеткізілетін салаларда қамтамасыз ету қажет.</w:t>
      </w:r>
    </w:p>
    <w:p w14:paraId="10AACF91"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Қаржы ресурстарын басқару ұтымдылық пен прагматизмнің тиісті деңгейін сақтап,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p w14:paraId="03E99A56" w14:textId="77777777" w:rsidR="00A77536" w:rsidRPr="007D7008" w:rsidRDefault="00A77536" w:rsidP="00A77536">
      <w:pPr>
        <w:pStyle w:val="ae"/>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Мемлекеттің үдемелі және орнықты дамуына мемлекеттік басқару жүйесін жаппай цифрландыру арқылы да қол жеткізілетін болады.</w:t>
      </w:r>
    </w:p>
    <w:p w14:paraId="11CBEECA" w14:textId="77777777" w:rsidR="001632AF" w:rsidRDefault="001632AF">
      <w:pPr>
        <w:rPr>
          <w:lang w:val="kk-KZ"/>
        </w:rPr>
      </w:pPr>
    </w:p>
    <w:p w14:paraId="763F2B99" w14:textId="11E65682" w:rsidR="006B0A44" w:rsidRDefault="002B65C1" w:rsidP="006B0A44">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Пайдаланылатын</w:t>
      </w:r>
      <w:r w:rsidR="006B0A44">
        <w:rPr>
          <w:rFonts w:ascii="Times New Roman" w:hAnsi="Times New Roman" w:cs="Times New Roman"/>
          <w:sz w:val="20"/>
          <w:szCs w:val="20"/>
          <w:lang w:val="kk-KZ"/>
        </w:rPr>
        <w:t xml:space="preserve">  әдебиеттер: </w:t>
      </w:r>
    </w:p>
    <w:p w14:paraId="70788105" w14:textId="77777777" w:rsidR="006B0A44" w:rsidRDefault="006B0A44" w:rsidP="006B0A44">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59FA8125" w14:textId="77777777" w:rsidR="006B0A44" w:rsidRDefault="006B0A44" w:rsidP="006B0A44">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7A394AAB" w14:textId="77777777" w:rsidR="006B0A44" w:rsidRDefault="006B0A44" w:rsidP="006B0A44">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02F28759"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D3F1350"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7D49D75"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62A98797"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1CC38FE3"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1573BDC0" w14:textId="77777777" w:rsidR="006B0A44" w:rsidRDefault="006B0A44" w:rsidP="006B0A44">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144330C4" w14:textId="77777777" w:rsidR="006B0A44" w:rsidRDefault="006B0A44" w:rsidP="006B0A44">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70B283A6" w14:textId="77777777" w:rsidR="006B0A44" w:rsidRDefault="006B0A44" w:rsidP="006B0A44">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0B717D35" w14:textId="77777777" w:rsidR="006B0A44" w:rsidRDefault="006B0A44" w:rsidP="006B0A44">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1BDCFE26"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080EAB82"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35D65A71"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7B586E13"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0A83C49E"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7C1AA2A8"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24DF0F41"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1C58ECC9" w14:textId="77777777" w:rsidR="006B0A44" w:rsidRDefault="006B0A44" w:rsidP="006B0A44">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1A808907"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50159940"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67A4FF91"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3FED5D47"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10205373"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432E1069"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5938575F"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617CBF6F"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09C9030F"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7F8701FB"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7963E87A"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08DA788D"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404F5FD0" w14:textId="77777777" w:rsidR="006B0A44" w:rsidRDefault="006B0A44" w:rsidP="006B0A44">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401B76F2"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78AEE738"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68E95038"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59B75E5E"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6AAC16CF" w14:textId="77777777" w:rsidR="006B0A44" w:rsidRDefault="006B0A44" w:rsidP="006B0A44">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66F3FB28"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38F72651"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7C85C3C5" w14:textId="77777777" w:rsidR="006B0A44" w:rsidRDefault="006B0A44" w:rsidP="006B0A44">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32B44E4F" w14:textId="77777777" w:rsidR="006B0A44" w:rsidRDefault="006B0A44" w:rsidP="006B0A44">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4A2CFC59" w14:textId="77777777" w:rsidR="006B0A44" w:rsidRDefault="006B0A44" w:rsidP="006B0A44">
      <w:pPr>
        <w:spacing w:after="0"/>
        <w:ind w:firstLine="708"/>
        <w:rPr>
          <w:rFonts w:ascii="Times New Roman" w:hAnsi="Times New Roman" w:cs="Times New Roman"/>
          <w:b/>
          <w:bCs/>
          <w:sz w:val="20"/>
          <w:szCs w:val="20"/>
          <w:lang w:val="kk-KZ"/>
        </w:rPr>
      </w:pPr>
    </w:p>
    <w:p w14:paraId="3AD9BF65" w14:textId="77777777" w:rsidR="006B0A44" w:rsidRDefault="006B0A44" w:rsidP="006B0A44">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4E905018"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115D90B9"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D85C12E"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F50CF7D"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A34B6B6"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53526F2F"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C803CB6" w14:textId="77777777" w:rsidR="006B0A44" w:rsidRDefault="006B0A44" w:rsidP="006B0A44">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7EA5D566"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3AF8AE9A"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714F3038"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05F9D23A"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C02B48A"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6ED4F82F"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B420C0C"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FD514A2"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C855076"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416C8EE4" w14:textId="77777777" w:rsidR="006B0A44" w:rsidRDefault="006B0A44" w:rsidP="006B0A44">
      <w:pPr>
        <w:spacing w:after="0"/>
        <w:ind w:firstLine="708"/>
        <w:rPr>
          <w:rFonts w:ascii="Times New Roman" w:hAnsi="Times New Roman" w:cs="Times New Roman"/>
          <w:sz w:val="20"/>
          <w:szCs w:val="20"/>
          <w:lang w:val="kk-KZ"/>
        </w:rPr>
      </w:pPr>
    </w:p>
    <w:p w14:paraId="7CB29A5D" w14:textId="77777777" w:rsidR="006B0A44" w:rsidRDefault="006B0A44" w:rsidP="006B0A44">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6AD8E44F"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1DBB94BA" w14:textId="77777777" w:rsidR="006B0A44" w:rsidRDefault="006B0A44" w:rsidP="006B0A44">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404557F2" w14:textId="77777777" w:rsidR="006B0A44" w:rsidRDefault="006B0A44" w:rsidP="006B0A44">
      <w:pPr>
        <w:spacing w:after="0"/>
        <w:ind w:firstLine="708"/>
        <w:rPr>
          <w:rFonts w:ascii="Times New Roman" w:hAnsi="Times New Roman" w:cs="Times New Roman"/>
          <w:b/>
          <w:bCs/>
          <w:sz w:val="20"/>
          <w:szCs w:val="20"/>
          <w:lang w:val="kk-KZ"/>
        </w:rPr>
      </w:pPr>
    </w:p>
    <w:p w14:paraId="3F4BB77B" w14:textId="77777777" w:rsidR="006B0A44" w:rsidRDefault="006B0A44" w:rsidP="006B0A44">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56CAB7FC" w14:textId="77777777" w:rsidR="006B0A44" w:rsidRDefault="006B0A44" w:rsidP="006B0A44">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3A011145" w14:textId="77777777" w:rsidR="006B0A44" w:rsidRDefault="006B0A44" w:rsidP="006B0A44">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56004BEC" w14:textId="77777777" w:rsidR="006B0A44" w:rsidRDefault="006B0A44" w:rsidP="006B0A44">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61621548" w14:textId="77777777" w:rsidR="006B0A44" w:rsidRDefault="006B0A44">
      <w:pPr>
        <w:rPr>
          <w:lang w:val="kk-KZ"/>
        </w:rPr>
      </w:pPr>
    </w:p>
    <w:p w14:paraId="02C336AE" w14:textId="77777777" w:rsidR="006B0A44" w:rsidRPr="006B0A44" w:rsidRDefault="006B0A44">
      <w:pPr>
        <w:rPr>
          <w:lang w:val="kk-KZ"/>
        </w:rPr>
      </w:pPr>
    </w:p>
    <w:sectPr w:rsidR="006B0A44" w:rsidRPr="006B0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1110807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69373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439741">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8034559">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176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77"/>
    <w:rsid w:val="001632AF"/>
    <w:rsid w:val="002444CB"/>
    <w:rsid w:val="002B65C1"/>
    <w:rsid w:val="00310446"/>
    <w:rsid w:val="003E6D87"/>
    <w:rsid w:val="006B0A44"/>
    <w:rsid w:val="00937677"/>
    <w:rsid w:val="00A756B3"/>
    <w:rsid w:val="00A77536"/>
    <w:rsid w:val="00EB389F"/>
    <w:rsid w:val="00FD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9983"/>
  <w15:chartTrackingRefBased/>
  <w15:docId w15:val="{1B9C0C34-1D77-4884-A78B-D7533AF3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A44"/>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6B0A44"/>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6B0A44"/>
  </w:style>
  <w:style w:type="paragraph" w:styleId="ae">
    <w:name w:val="Normal (Web)"/>
    <w:basedOn w:val="a"/>
    <w:uiPriority w:val="99"/>
    <w:semiHidden/>
    <w:unhideWhenUsed/>
    <w:rsid w:val="00A77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1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5</cp:revision>
  <dcterms:created xsi:type="dcterms:W3CDTF">2024-05-21T12:28:00Z</dcterms:created>
  <dcterms:modified xsi:type="dcterms:W3CDTF">2024-05-21T13:15:00Z</dcterms:modified>
</cp:coreProperties>
</file>